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5713A" w14:textId="2E9A2375" w:rsidR="005B25C0" w:rsidRPr="00B74F86" w:rsidRDefault="00577C0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Influenza Activity in Wayne</w:t>
      </w:r>
      <w:r w:rsidR="005B25C0" w:rsidRPr="00B74F86">
        <w:rPr>
          <w:b/>
          <w:sz w:val="28"/>
          <w:szCs w:val="28"/>
        </w:rPr>
        <w:t xml:space="preserve"> County: </w:t>
      </w:r>
      <w:r w:rsidR="00633826">
        <w:rPr>
          <w:b/>
          <w:sz w:val="28"/>
          <w:szCs w:val="28"/>
        </w:rPr>
        <w:t xml:space="preserve">September 29 - </w:t>
      </w:r>
      <w:r w:rsidR="005B25C0" w:rsidRPr="00B74F86">
        <w:rPr>
          <w:b/>
          <w:sz w:val="28"/>
          <w:szCs w:val="28"/>
        </w:rPr>
        <w:t xml:space="preserve">October </w:t>
      </w:r>
      <w:r w:rsidR="00633826">
        <w:rPr>
          <w:b/>
          <w:sz w:val="28"/>
          <w:szCs w:val="28"/>
        </w:rPr>
        <w:t>5</w:t>
      </w:r>
      <w:r w:rsidR="005B25C0" w:rsidRPr="00B74F86">
        <w:rPr>
          <w:b/>
          <w:sz w:val="28"/>
          <w:szCs w:val="28"/>
        </w:rPr>
        <w:t>, 201</w:t>
      </w:r>
      <w:r w:rsidR="00633826">
        <w:rPr>
          <w:b/>
          <w:sz w:val="28"/>
          <w:szCs w:val="28"/>
        </w:rPr>
        <w:t>9</w:t>
      </w:r>
    </w:p>
    <w:p w14:paraId="44E56495" w14:textId="77777777" w:rsidR="005B25C0" w:rsidRDefault="005B25C0" w:rsidP="005B25C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7"/>
      </w:tblGrid>
      <w:tr w:rsidR="005B25C0" w14:paraId="33330433" w14:textId="77777777">
        <w:trPr>
          <w:trHeight w:val="409"/>
        </w:trPr>
        <w:tc>
          <w:tcPr>
            <w:tcW w:w="10517" w:type="dxa"/>
          </w:tcPr>
          <w:p w14:paraId="2F508FE8" w14:textId="77777777" w:rsidR="005B25C0" w:rsidRPr="00B74F86" w:rsidRDefault="00B74F86" w:rsidP="005B25C0">
            <w:pPr>
              <w:pStyle w:val="Default"/>
              <w:rPr>
                <w:rFonts w:ascii="Calibri" w:hAnsi="Calibri" w:cs="Calibri"/>
                <w:b/>
                <w:u w:val="single"/>
              </w:rPr>
            </w:pPr>
            <w:r w:rsidRPr="00B74F86">
              <w:rPr>
                <w:rFonts w:ascii="Calibri" w:hAnsi="Calibri" w:cs="Calibri"/>
                <w:b/>
                <w:u w:val="single"/>
              </w:rPr>
              <w:t>Summary</w:t>
            </w:r>
            <w:r>
              <w:rPr>
                <w:rFonts w:ascii="Calibri" w:hAnsi="Calibri" w:cs="Calibri"/>
                <w:b/>
                <w:u w:val="single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17"/>
            </w:tblGrid>
            <w:tr w:rsidR="005B25C0" w:rsidRPr="005B25C0" w14:paraId="5B2FA041" w14:textId="77777777">
              <w:trPr>
                <w:trHeight w:val="945"/>
              </w:trPr>
              <w:tc>
                <w:tcPr>
                  <w:tcW w:w="10517" w:type="dxa"/>
                </w:tcPr>
                <w:p w14:paraId="40AD80B6" w14:textId="20D87BA0" w:rsidR="005B25C0" w:rsidRPr="005B25C0" w:rsidRDefault="005B25C0" w:rsidP="00B706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8E23C6">
                    <w:rPr>
                      <w:rFonts w:ascii="Calibri" w:hAnsi="Calibri" w:cs="Calibri"/>
                      <w:color w:val="000000"/>
                    </w:rPr>
                    <w:t xml:space="preserve">Public health surveillance data indicate minimal influenza like illness (ILI) in </w:t>
                  </w:r>
                  <w:r w:rsidR="006F1A45">
                    <w:rPr>
                      <w:rFonts w:ascii="Calibri" w:hAnsi="Calibri" w:cs="Calibri"/>
                      <w:color w:val="000000"/>
                    </w:rPr>
                    <w:t>Wayne</w:t>
                  </w:r>
                  <w:r w:rsidRPr="008E23C6">
                    <w:rPr>
                      <w:rFonts w:ascii="Calibri" w:hAnsi="Calibri" w:cs="Calibri"/>
                      <w:color w:val="000000"/>
                    </w:rPr>
                    <w:t xml:space="preserve"> County</w:t>
                  </w:r>
                  <w:r w:rsidR="006F1A45">
                    <w:rPr>
                      <w:rFonts w:ascii="Calibri" w:hAnsi="Calibri" w:cs="Calibri"/>
                      <w:color w:val="000000"/>
                    </w:rPr>
                    <w:t xml:space="preserve"> (Figures 1</w:t>
                  </w:r>
                  <w:r w:rsidR="00640DB4">
                    <w:rPr>
                      <w:rFonts w:ascii="Calibri" w:hAnsi="Calibri" w:cs="Calibri"/>
                      <w:color w:val="000000"/>
                    </w:rPr>
                    <w:t>, 2,</w:t>
                  </w:r>
                  <w:r w:rsidR="0052754C">
                    <w:rPr>
                      <w:rFonts w:ascii="Calibri" w:hAnsi="Calibri" w:cs="Calibri"/>
                      <w:color w:val="000000"/>
                    </w:rPr>
                    <w:t xml:space="preserve"> and </w:t>
                  </w:r>
                  <w:r w:rsidR="00640DB4">
                    <w:rPr>
                      <w:rFonts w:ascii="Calibri" w:hAnsi="Calibri" w:cs="Calibri"/>
                      <w:color w:val="000000"/>
                    </w:rPr>
                    <w:t>4</w:t>
                  </w:r>
                  <w:r w:rsidR="006F1A45">
                    <w:rPr>
                      <w:rFonts w:ascii="Calibri" w:hAnsi="Calibri" w:cs="Calibri"/>
                      <w:color w:val="000000"/>
                    </w:rPr>
                    <w:t>)</w:t>
                  </w:r>
                  <w:r w:rsidR="00B74F86" w:rsidRPr="008E23C6">
                    <w:rPr>
                      <w:rFonts w:ascii="Calibri" w:hAnsi="Calibri" w:cs="Calibri"/>
                      <w:color w:val="000000"/>
                    </w:rPr>
                    <w:t xml:space="preserve">. 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>Levels of ILI related ED visits were highest in the 442</w:t>
                  </w:r>
                  <w:r w:rsidR="005A6766">
                    <w:rPr>
                      <w:rFonts w:ascii="Calibri" w:hAnsi="Calibri" w:cs="Calibri"/>
                      <w:color w:val="000000"/>
                    </w:rPr>
                    <w:t>76, 44654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 xml:space="preserve"> and 446</w:t>
                  </w:r>
                  <w:r w:rsidR="005A6766">
                    <w:rPr>
                      <w:rFonts w:ascii="Calibri" w:hAnsi="Calibri" w:cs="Calibri"/>
                      <w:color w:val="000000"/>
                    </w:rPr>
                    <w:t>77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 xml:space="preserve"> zip codes </w:t>
                  </w:r>
                  <w:r w:rsidR="00640DB4">
                    <w:rPr>
                      <w:rFonts w:ascii="Calibri" w:hAnsi="Calibri" w:cs="Calibri"/>
                      <w:color w:val="000000"/>
                    </w:rPr>
                    <w:t>(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 xml:space="preserve">Figure </w:t>
                  </w:r>
                  <w:r w:rsidR="00640DB4">
                    <w:rPr>
                      <w:rFonts w:ascii="Calibri" w:hAnsi="Calibri" w:cs="Calibri"/>
                      <w:color w:val="000000"/>
                    </w:rPr>
                    <w:t>3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>).</w:t>
                  </w:r>
                  <w:r w:rsidR="00B74F86" w:rsidRPr="008E23C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Pr="005B25C0">
                    <w:rPr>
                      <w:rFonts w:ascii="Calibri" w:hAnsi="Calibri" w:cs="Calibri"/>
                      <w:color w:val="000000"/>
                    </w:rPr>
                    <w:t>There</w:t>
                  </w:r>
                  <w:r w:rsidR="00B74F86" w:rsidRPr="008E23C6">
                    <w:rPr>
                      <w:rFonts w:ascii="Calibri" w:hAnsi="Calibri" w:cs="Calibri"/>
                      <w:color w:val="000000"/>
                    </w:rPr>
                    <w:t xml:space="preserve"> were 0</w:t>
                  </w:r>
                  <w:r w:rsidRPr="005B25C0">
                    <w:rPr>
                      <w:rFonts w:ascii="Calibri" w:hAnsi="Calibri" w:cs="Calibri"/>
                      <w:color w:val="000000"/>
                    </w:rPr>
                    <w:t xml:space="preserve"> influenza-associated hospitalizations</w:t>
                  </w:r>
                  <w:r w:rsidR="006F1A45">
                    <w:rPr>
                      <w:rFonts w:ascii="Calibri" w:hAnsi="Calibri" w:cs="Calibri"/>
                      <w:color w:val="000000"/>
                    </w:rPr>
                    <w:t>,</w:t>
                  </w:r>
                  <w:r w:rsidR="00B74F86" w:rsidRPr="008E23C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r w:rsidR="00B706A8">
                    <w:rPr>
                      <w:rFonts w:ascii="Calibri" w:hAnsi="Calibri" w:cs="Calibri"/>
                      <w:color w:val="000000"/>
                    </w:rPr>
                    <w:t>0 novel i</w:t>
                  </w:r>
                  <w:r w:rsidR="008E23C6" w:rsidRPr="008E23C6">
                    <w:rPr>
                      <w:rFonts w:ascii="Calibri" w:hAnsi="Calibri" w:cs="Calibri"/>
                      <w:color w:val="000000"/>
                    </w:rPr>
                    <w:t>nfluenza i</w:t>
                  </w:r>
                  <w:r w:rsidR="00CF70A5">
                    <w:rPr>
                      <w:rFonts w:ascii="Calibri" w:hAnsi="Calibri" w:cs="Calibri"/>
                      <w:color w:val="000000"/>
                    </w:rPr>
                    <w:t>nfections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 xml:space="preserve">, and </w:t>
                  </w:r>
                  <w:r w:rsidR="000252CE">
                    <w:rPr>
                      <w:rFonts w:ascii="Calibri" w:hAnsi="Calibri" w:cs="Calibri"/>
                      <w:color w:val="000000"/>
                    </w:rPr>
                    <w:t>1</w:t>
                  </w:r>
                  <w:r w:rsidR="00C6505C">
                    <w:rPr>
                      <w:rFonts w:ascii="Calibri" w:hAnsi="Calibri" w:cs="Calibri"/>
                      <w:color w:val="000000"/>
                    </w:rPr>
                    <w:t xml:space="preserve"> pneumonia deaths</w:t>
                  </w:r>
                  <w:r w:rsidR="00CF70A5">
                    <w:rPr>
                      <w:rFonts w:ascii="Calibri" w:hAnsi="Calibri" w:cs="Calibri"/>
                      <w:color w:val="000000"/>
                    </w:rPr>
                    <w:t xml:space="preserve"> reported to the Wayne</w:t>
                  </w:r>
                  <w:r w:rsidR="008E23C6" w:rsidRPr="008E23C6">
                    <w:rPr>
                      <w:rFonts w:ascii="Calibri" w:hAnsi="Calibri" w:cs="Calibri"/>
                      <w:color w:val="000000"/>
                    </w:rPr>
                    <w:t xml:space="preserve"> County Health Department during</w:t>
                  </w:r>
                  <w:r w:rsidR="00B706A8">
                    <w:rPr>
                      <w:rFonts w:ascii="Calibri" w:hAnsi="Calibri" w:cs="Calibri"/>
                      <w:color w:val="000000"/>
                    </w:rPr>
                    <w:t xml:space="preserve"> the week</w:t>
                  </w:r>
                  <w:r w:rsidR="008E23C6" w:rsidRPr="008E23C6">
                    <w:rPr>
                      <w:rFonts w:ascii="Calibri" w:hAnsi="Calibri" w:cs="Calibri"/>
                      <w:color w:val="000000"/>
                    </w:rPr>
                    <w:t>.</w:t>
                  </w:r>
                </w:p>
              </w:tc>
            </w:tr>
          </w:tbl>
          <w:p w14:paraId="4D23CB28" w14:textId="77777777" w:rsidR="005B25C0" w:rsidRPr="005B25C0" w:rsidRDefault="005B25C0" w:rsidP="005B25C0">
            <w:pPr>
              <w:pStyle w:val="Default"/>
              <w:rPr>
                <w:rFonts w:ascii="Calibri" w:hAnsi="Calibri" w:cs="Calibri"/>
              </w:rPr>
            </w:pPr>
          </w:p>
          <w:p w14:paraId="7135ACCC" w14:textId="77777777" w:rsidR="005B25C0" w:rsidRDefault="005B25C0">
            <w:pPr>
              <w:pStyle w:val="Default"/>
            </w:pPr>
          </w:p>
        </w:tc>
      </w:tr>
    </w:tbl>
    <w:p w14:paraId="4734D631" w14:textId="77777777" w:rsidR="005B25C0" w:rsidRDefault="00B74F86" w:rsidP="00B74F86">
      <w:pPr>
        <w:rPr>
          <w:b/>
          <w:sz w:val="24"/>
          <w:szCs w:val="24"/>
          <w:u w:val="single"/>
        </w:rPr>
      </w:pPr>
      <w:r w:rsidRPr="00B74F86">
        <w:rPr>
          <w:b/>
          <w:sz w:val="24"/>
          <w:szCs w:val="24"/>
          <w:u w:val="single"/>
        </w:rPr>
        <w:t>Dashboard</w:t>
      </w:r>
      <w:r>
        <w:rPr>
          <w:b/>
          <w:sz w:val="24"/>
          <w:szCs w:val="24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990"/>
        <w:gridCol w:w="1440"/>
        <w:gridCol w:w="1440"/>
        <w:gridCol w:w="1170"/>
      </w:tblGrid>
      <w:tr w:rsidR="003E20E5" w14:paraId="74538011" w14:textId="77777777" w:rsidTr="00794BB3">
        <w:tc>
          <w:tcPr>
            <w:tcW w:w="3685" w:type="dxa"/>
          </w:tcPr>
          <w:p w14:paraId="510A0272" w14:textId="77777777" w:rsidR="003E20E5" w:rsidRPr="00B74F86" w:rsidRDefault="003E20E5" w:rsidP="00B74F86">
            <w:pPr>
              <w:rPr>
                <w:b/>
              </w:rPr>
            </w:pPr>
            <w:r w:rsidRPr="00B74F86">
              <w:rPr>
                <w:b/>
              </w:rPr>
              <w:t>Indi</w:t>
            </w:r>
            <w:r>
              <w:rPr>
                <w:b/>
              </w:rPr>
              <w:t>cator</w:t>
            </w:r>
          </w:p>
        </w:tc>
        <w:tc>
          <w:tcPr>
            <w:tcW w:w="990" w:type="dxa"/>
          </w:tcPr>
          <w:p w14:paraId="080CB7CB" w14:textId="77777777" w:rsidR="003E20E5" w:rsidRPr="003E20E5" w:rsidRDefault="003E20E5" w:rsidP="003E20E5">
            <w:pPr>
              <w:jc w:val="center"/>
              <w:rPr>
                <w:b/>
              </w:rPr>
            </w:pPr>
            <w:r w:rsidRPr="003E20E5">
              <w:rPr>
                <w:b/>
              </w:rPr>
              <w:t>Current Week</w:t>
            </w:r>
          </w:p>
        </w:tc>
        <w:tc>
          <w:tcPr>
            <w:tcW w:w="1440" w:type="dxa"/>
          </w:tcPr>
          <w:p w14:paraId="6AF39B32" w14:textId="77777777" w:rsidR="003E20E5" w:rsidRDefault="003E20E5" w:rsidP="003E20E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</w:rPr>
              <w:t>Previous</w:t>
            </w:r>
            <w:r w:rsidRPr="003E20E5">
              <w:rPr>
                <w:b/>
              </w:rPr>
              <w:t xml:space="preserve"> Week</w:t>
            </w:r>
          </w:p>
        </w:tc>
        <w:tc>
          <w:tcPr>
            <w:tcW w:w="1440" w:type="dxa"/>
          </w:tcPr>
          <w:p w14:paraId="1E95ACB3" w14:textId="77777777" w:rsidR="003E20E5" w:rsidRDefault="003E20E5" w:rsidP="003E20E5">
            <w:pPr>
              <w:jc w:val="center"/>
              <w:rPr>
                <w:b/>
              </w:rPr>
            </w:pPr>
            <w:r>
              <w:rPr>
                <w:b/>
              </w:rPr>
              <w:t>Trend</w:t>
            </w:r>
          </w:p>
          <w:p w14:paraId="6F0F1947" w14:textId="77777777" w:rsidR="00794BB3" w:rsidRPr="003E20E5" w:rsidRDefault="00794BB3" w:rsidP="003E20E5">
            <w:pPr>
              <w:jc w:val="center"/>
            </w:pPr>
            <w:r>
              <w:rPr>
                <w:b/>
              </w:rPr>
              <w:t>(# of weeks)</w:t>
            </w:r>
          </w:p>
        </w:tc>
        <w:tc>
          <w:tcPr>
            <w:tcW w:w="1170" w:type="dxa"/>
          </w:tcPr>
          <w:p w14:paraId="3149B939" w14:textId="77777777" w:rsidR="003E20E5" w:rsidRPr="003E20E5" w:rsidRDefault="008E23C6" w:rsidP="003E20E5">
            <w:pPr>
              <w:jc w:val="center"/>
              <w:rPr>
                <w:b/>
              </w:rPr>
            </w:pPr>
            <w:r>
              <w:rPr>
                <w:b/>
              </w:rPr>
              <w:t>Season to Date</w:t>
            </w:r>
          </w:p>
        </w:tc>
      </w:tr>
      <w:tr w:rsidR="00146CDE" w14:paraId="7C86820A" w14:textId="77777777" w:rsidTr="006F1A45">
        <w:trPr>
          <w:trHeight w:val="323"/>
        </w:trPr>
        <w:tc>
          <w:tcPr>
            <w:tcW w:w="3685" w:type="dxa"/>
          </w:tcPr>
          <w:p w14:paraId="2AA15134" w14:textId="689E905C" w:rsidR="00146CDE" w:rsidRPr="000252CE" w:rsidRDefault="00146CDE" w:rsidP="003E20E5">
            <w:pPr>
              <w:rPr>
                <w:vertAlign w:val="superscript"/>
              </w:rPr>
            </w:pPr>
            <w:r>
              <w:t>Percentage of ILI Outpatient visits</w:t>
            </w:r>
            <w:r w:rsidR="000252CE">
              <w:rPr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09B4F1D0" w14:textId="274D29A3" w:rsidR="00146CDE" w:rsidRDefault="00146CDE" w:rsidP="003E20E5">
            <w:pPr>
              <w:jc w:val="center"/>
            </w:pPr>
            <w:r>
              <w:t>0%</w:t>
            </w:r>
          </w:p>
        </w:tc>
        <w:tc>
          <w:tcPr>
            <w:tcW w:w="1440" w:type="dxa"/>
          </w:tcPr>
          <w:p w14:paraId="7DAD7BB2" w14:textId="69D5A891" w:rsidR="00146CDE" w:rsidRDefault="00146CDE" w:rsidP="003E20E5">
            <w:pPr>
              <w:jc w:val="center"/>
            </w:pPr>
            <w:r>
              <w:t>-%</w:t>
            </w:r>
          </w:p>
        </w:tc>
        <w:tc>
          <w:tcPr>
            <w:tcW w:w="1440" w:type="dxa"/>
          </w:tcPr>
          <w:p w14:paraId="036F5248" w14:textId="21F6D59B" w:rsidR="00146CDE" w:rsidRPr="00146CDE" w:rsidRDefault="00146CDE" w:rsidP="00794BB3">
            <w:pPr>
              <w:jc w:val="right"/>
              <w:rPr>
                <w:bCs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3EB837" wp14:editId="530F418A">
                      <wp:simplePos x="0" y="0"/>
                      <wp:positionH relativeFrom="column">
                        <wp:posOffset>223814</wp:posOffset>
                      </wp:positionH>
                      <wp:positionV relativeFrom="paragraph">
                        <wp:posOffset>36150</wp:posOffset>
                      </wp:positionV>
                      <wp:extent cx="223225" cy="119173"/>
                      <wp:effectExtent l="19050" t="19050" r="24765" b="33655"/>
                      <wp:wrapNone/>
                      <wp:docPr id="7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25" cy="119173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A25F81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17.6pt;margin-top:2.85pt;width:17.6pt;height: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" adj="5766" fillcolor="#5b9bd5 [3204]" strokecolor="#1f4d78 [1604]" strokeweight="1pt"/>
                  </w:pict>
                </mc:Fallback>
              </mc:AlternateContent>
            </w:r>
            <w:r>
              <w:rPr>
                <w:bCs/>
                <w:noProof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60B435F2" w14:textId="77777777" w:rsidR="00146CDE" w:rsidRDefault="00146CDE" w:rsidP="003E20E5">
            <w:pPr>
              <w:jc w:val="center"/>
            </w:pPr>
          </w:p>
        </w:tc>
      </w:tr>
      <w:tr w:rsidR="003E20E5" w14:paraId="480F0D25" w14:textId="77777777" w:rsidTr="006F1A45">
        <w:trPr>
          <w:trHeight w:val="323"/>
        </w:trPr>
        <w:tc>
          <w:tcPr>
            <w:tcW w:w="3685" w:type="dxa"/>
          </w:tcPr>
          <w:p w14:paraId="4328D5D9" w14:textId="77777777" w:rsidR="003E20E5" w:rsidRPr="00794BB3" w:rsidRDefault="003E20E5" w:rsidP="003E20E5">
            <w:pPr>
              <w:rPr>
                <w:vertAlign w:val="superscript"/>
              </w:rPr>
            </w:pPr>
            <w:r>
              <w:t>Percentage of ILI ED visits</w:t>
            </w:r>
            <w:r w:rsidR="00794BB3">
              <w:rPr>
                <w:vertAlign w:val="superscript"/>
              </w:rPr>
              <w:t>1</w:t>
            </w:r>
          </w:p>
        </w:tc>
        <w:tc>
          <w:tcPr>
            <w:tcW w:w="990" w:type="dxa"/>
          </w:tcPr>
          <w:p w14:paraId="10A0C286" w14:textId="09C538D5" w:rsidR="003E20E5" w:rsidRPr="003E20E5" w:rsidRDefault="00146CDE" w:rsidP="003E20E5">
            <w:pPr>
              <w:jc w:val="center"/>
            </w:pPr>
            <w:r>
              <w:t>0.5</w:t>
            </w:r>
            <w:r w:rsidR="003E20E5">
              <w:t>%</w:t>
            </w:r>
          </w:p>
        </w:tc>
        <w:tc>
          <w:tcPr>
            <w:tcW w:w="1440" w:type="dxa"/>
          </w:tcPr>
          <w:p w14:paraId="0253363F" w14:textId="60E5A187" w:rsidR="003E20E5" w:rsidRDefault="00146CDE" w:rsidP="003E20E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-</w:t>
            </w:r>
            <w:r w:rsidR="003E20E5">
              <w:t>%</w:t>
            </w:r>
          </w:p>
        </w:tc>
        <w:tc>
          <w:tcPr>
            <w:tcW w:w="1440" w:type="dxa"/>
          </w:tcPr>
          <w:p w14:paraId="4D54BEC4" w14:textId="01F2E345" w:rsidR="003E20E5" w:rsidRDefault="006F1A45" w:rsidP="00794BB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05709B" wp14:editId="7EC8C181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41275</wp:posOffset>
                      </wp:positionV>
                      <wp:extent cx="247650" cy="123825"/>
                      <wp:effectExtent l="19050" t="19050" r="19050" b="47625"/>
                      <wp:wrapNone/>
                      <wp:docPr id="2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D3059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3" o:spid="_x0000_s1026" type="#_x0000_t69" style="position:absolute;margin-left:16.25pt;margin-top:3.25pt;width:19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" adj="5400" fillcolor="#5b9bd5 [3204]" strokecolor="#1f4d78 [1604]" strokeweight="1pt"/>
                  </w:pict>
                </mc:Fallback>
              </mc:AlternateContent>
            </w:r>
            <w:r w:rsidR="00794BB3">
              <w:t>1</w:t>
            </w:r>
          </w:p>
        </w:tc>
        <w:tc>
          <w:tcPr>
            <w:tcW w:w="1170" w:type="dxa"/>
          </w:tcPr>
          <w:p w14:paraId="472741AB" w14:textId="77777777" w:rsidR="003E20E5" w:rsidRDefault="008E23C6" w:rsidP="003E20E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-</w:t>
            </w:r>
          </w:p>
        </w:tc>
      </w:tr>
      <w:tr w:rsidR="003E20E5" w14:paraId="7223D208" w14:textId="77777777" w:rsidTr="00794BB3">
        <w:tc>
          <w:tcPr>
            <w:tcW w:w="3685" w:type="dxa"/>
          </w:tcPr>
          <w:p w14:paraId="04781DFC" w14:textId="77777777" w:rsidR="003E20E5" w:rsidRPr="00794BB3" w:rsidRDefault="003E20E5" w:rsidP="003E20E5">
            <w:pPr>
              <w:rPr>
                <w:vertAlign w:val="superscript"/>
              </w:rPr>
            </w:pPr>
            <w:r>
              <w:t>Number of Influenza Hospitalizations</w:t>
            </w:r>
            <w:r w:rsidR="00794BB3">
              <w:rPr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0F230259" w14:textId="77777777" w:rsidR="003E20E5" w:rsidRDefault="003E20E5" w:rsidP="003E20E5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4D1DD3D8" w14:textId="1E866C68" w:rsidR="003E20E5" w:rsidRDefault="00146CDE" w:rsidP="003E20E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14:paraId="0C54D233" w14:textId="77777777" w:rsidR="003E20E5" w:rsidRDefault="00794BB3" w:rsidP="00794BB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t>1</w:t>
            </w:r>
            <w:r w:rsidR="003E20E5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C34DEE" wp14:editId="569196B3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16510</wp:posOffset>
                      </wp:positionV>
                      <wp:extent cx="247650" cy="123825"/>
                      <wp:effectExtent l="19050" t="19050" r="19050" b="47625"/>
                      <wp:wrapNone/>
                      <wp:docPr id="3" name="Left-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2B53B0" id="Left-Right Arrow 3" o:spid="_x0000_s1026" type="#_x0000_t69" style="position:absolute;margin-left:16.25pt;margin-top:1.3pt;width:19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" adj="54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2D10A201" w14:textId="77777777" w:rsidR="003E20E5" w:rsidRPr="008E23C6" w:rsidRDefault="008E23C6" w:rsidP="008E23C6">
            <w:pPr>
              <w:jc w:val="center"/>
            </w:pPr>
            <w:r>
              <w:t>0</w:t>
            </w:r>
          </w:p>
        </w:tc>
      </w:tr>
      <w:tr w:rsidR="003E20E5" w14:paraId="5E6F7DBA" w14:textId="77777777" w:rsidTr="00794BB3">
        <w:tc>
          <w:tcPr>
            <w:tcW w:w="3685" w:type="dxa"/>
          </w:tcPr>
          <w:p w14:paraId="633D7CA8" w14:textId="77777777" w:rsidR="003E20E5" w:rsidRPr="00794BB3" w:rsidRDefault="003E20E5" w:rsidP="003E20E5">
            <w:pPr>
              <w:rPr>
                <w:vertAlign w:val="superscript"/>
              </w:rPr>
            </w:pPr>
            <w:r>
              <w:t>Number of Novel Influenza Infections</w:t>
            </w:r>
            <w:r w:rsidR="00794BB3">
              <w:rPr>
                <w:vertAlign w:val="superscript"/>
              </w:rPr>
              <w:t>2</w:t>
            </w:r>
          </w:p>
        </w:tc>
        <w:tc>
          <w:tcPr>
            <w:tcW w:w="990" w:type="dxa"/>
          </w:tcPr>
          <w:p w14:paraId="48E42DB2" w14:textId="77777777" w:rsidR="003E20E5" w:rsidRDefault="003E20E5" w:rsidP="003E20E5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14:paraId="74B9D862" w14:textId="7525D0D9" w:rsidR="003E20E5" w:rsidRDefault="00146CDE" w:rsidP="003E20E5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14:paraId="18AF15D3" w14:textId="77777777" w:rsidR="003E20E5" w:rsidRDefault="00794BB3" w:rsidP="00794BB3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t>1</w:t>
            </w:r>
            <w:r w:rsidR="003E20E5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4F38CE" wp14:editId="3C430044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24130</wp:posOffset>
                      </wp:positionV>
                      <wp:extent cx="247650" cy="123825"/>
                      <wp:effectExtent l="19050" t="19050" r="19050" b="47625"/>
                      <wp:wrapNone/>
                      <wp:docPr id="4" name="Left-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CBAAD38" id="Left-Right Arrow 4" o:spid="_x0000_s1026" type="#_x0000_t69" style="position:absolute;margin-left:17pt;margin-top:1.9pt;width:19.5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" adj="5400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170" w:type="dxa"/>
          </w:tcPr>
          <w:p w14:paraId="0FE4FAA0" w14:textId="77777777" w:rsidR="003E20E5" w:rsidRDefault="008E23C6" w:rsidP="008E23C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t>0</w:t>
            </w:r>
          </w:p>
        </w:tc>
      </w:tr>
      <w:tr w:rsidR="00794BB3" w14:paraId="5B85348A" w14:textId="77777777" w:rsidTr="00794BB3">
        <w:trPr>
          <w:trHeight w:val="332"/>
        </w:trPr>
        <w:tc>
          <w:tcPr>
            <w:tcW w:w="7555" w:type="dxa"/>
            <w:gridSpan w:val="4"/>
          </w:tcPr>
          <w:p w14:paraId="020FBCD2" w14:textId="77777777" w:rsidR="00794BB3" w:rsidRDefault="00794BB3" w:rsidP="00794BB3">
            <w:pPr>
              <w:rPr>
                <w:vertAlign w:val="superscript"/>
              </w:rPr>
            </w:pPr>
            <w:r>
              <w:t>Number of deaths associated with</w:t>
            </w:r>
            <w:r w:rsidR="00D439C1">
              <w:t>:</w:t>
            </w:r>
            <w:r>
              <w:rPr>
                <w:vertAlign w:val="superscript"/>
              </w:rPr>
              <w:t>3</w:t>
            </w:r>
          </w:p>
          <w:p w14:paraId="6BCF1671" w14:textId="77777777" w:rsidR="00D439C1" w:rsidRDefault="00D439C1" w:rsidP="00D439C1">
            <w:pPr>
              <w:ind w:left="720"/>
            </w:pPr>
            <w:r>
              <w:t>Influenza</w:t>
            </w:r>
          </w:p>
          <w:p w14:paraId="76372BD9" w14:textId="1AC1F724" w:rsidR="00D439C1" w:rsidRPr="00D439C1" w:rsidRDefault="00D439C1" w:rsidP="00D439C1">
            <w:pPr>
              <w:ind w:left="720"/>
            </w:pPr>
            <w:r>
              <w:t>Pneumonia</w:t>
            </w:r>
          </w:p>
        </w:tc>
        <w:tc>
          <w:tcPr>
            <w:tcW w:w="1170" w:type="dxa"/>
          </w:tcPr>
          <w:p w14:paraId="224079DA" w14:textId="77777777" w:rsidR="00794BB3" w:rsidRDefault="00794BB3" w:rsidP="008E23C6">
            <w:pPr>
              <w:jc w:val="center"/>
            </w:pPr>
          </w:p>
          <w:p w14:paraId="744B0437" w14:textId="77777777" w:rsidR="00D439C1" w:rsidRDefault="00D439C1" w:rsidP="008E23C6">
            <w:pPr>
              <w:jc w:val="center"/>
            </w:pPr>
            <w:r>
              <w:t>0</w:t>
            </w:r>
          </w:p>
          <w:p w14:paraId="3D9A1786" w14:textId="7CEDB6AD" w:rsidR="00D439C1" w:rsidRDefault="00D439C1" w:rsidP="008E23C6">
            <w:pPr>
              <w:jc w:val="center"/>
            </w:pPr>
            <w:r>
              <w:t>1</w:t>
            </w:r>
          </w:p>
        </w:tc>
      </w:tr>
    </w:tbl>
    <w:p w14:paraId="203D6934" w14:textId="77777777" w:rsidR="00B74F86" w:rsidRDefault="00B74F86" w:rsidP="00B74F86">
      <w:pPr>
        <w:rPr>
          <w:b/>
          <w:sz w:val="24"/>
          <w:szCs w:val="24"/>
          <w:u w:val="single"/>
        </w:rPr>
      </w:pPr>
    </w:p>
    <w:p w14:paraId="6EF9A5E9" w14:textId="73206AC7" w:rsidR="00637836" w:rsidRDefault="00637836" w:rsidP="0063783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Percentage of IL</w:t>
      </w:r>
      <w:r w:rsidR="00146CDE">
        <w:rPr>
          <w:b/>
          <w:sz w:val="24"/>
          <w:szCs w:val="24"/>
          <w:u w:val="single"/>
        </w:rPr>
        <w:t>I Outpatient</w:t>
      </w:r>
      <w:r>
        <w:rPr>
          <w:b/>
          <w:sz w:val="24"/>
          <w:szCs w:val="24"/>
          <w:u w:val="single"/>
        </w:rPr>
        <w:t xml:space="preserve"> Visits by Week:</w:t>
      </w:r>
    </w:p>
    <w:p w14:paraId="1A900467" w14:textId="1FEBCD56" w:rsidR="00637836" w:rsidRDefault="00146CDE" w:rsidP="00B74F86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4312513" wp14:editId="17829C93">
            <wp:extent cx="5943600" cy="2977515"/>
            <wp:effectExtent l="0" t="0" r="0" b="133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8531BA5-5B2E-4539-8795-9BA73A3F92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6011C0E" w14:textId="039E3A81" w:rsidR="00C6505C" w:rsidRDefault="00C6505C" w:rsidP="00B74F86">
      <w:pPr>
        <w:rPr>
          <w:b/>
          <w:sz w:val="24"/>
          <w:szCs w:val="24"/>
          <w:u w:val="single"/>
        </w:rPr>
      </w:pPr>
    </w:p>
    <w:p w14:paraId="68370C2D" w14:textId="22DB05B9" w:rsidR="00C6505C" w:rsidRDefault="00C6505C" w:rsidP="00B74F86">
      <w:pPr>
        <w:rPr>
          <w:b/>
          <w:sz w:val="24"/>
          <w:szCs w:val="24"/>
          <w:u w:val="single"/>
        </w:rPr>
      </w:pPr>
    </w:p>
    <w:p w14:paraId="477748D9" w14:textId="77777777" w:rsidR="00C6505C" w:rsidRDefault="00C6505C" w:rsidP="00B74F86">
      <w:pPr>
        <w:rPr>
          <w:b/>
          <w:sz w:val="24"/>
          <w:szCs w:val="24"/>
          <w:u w:val="single"/>
        </w:rPr>
      </w:pPr>
    </w:p>
    <w:p w14:paraId="2205B3E5" w14:textId="77777777" w:rsidR="00637836" w:rsidRDefault="00637836" w:rsidP="00B74F86">
      <w:pPr>
        <w:rPr>
          <w:b/>
          <w:sz w:val="24"/>
          <w:szCs w:val="24"/>
          <w:u w:val="single"/>
        </w:rPr>
      </w:pPr>
    </w:p>
    <w:p w14:paraId="0CE08684" w14:textId="77777777" w:rsidR="00146CDE" w:rsidRDefault="00146CDE" w:rsidP="00146CD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Percentage of ILI ED Visits by Week:</w:t>
      </w:r>
    </w:p>
    <w:p w14:paraId="69696F52" w14:textId="7479370B" w:rsidR="00146CDE" w:rsidRDefault="00146CDE" w:rsidP="00B74F86">
      <w:pPr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9419C40" wp14:editId="69E3BC6C">
            <wp:extent cx="5943600" cy="2813050"/>
            <wp:effectExtent l="0" t="0" r="0" b="635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9D01A09D-BCFA-49B4-90AA-DE92B1EC3A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FD30ED0" w14:textId="7F047780" w:rsidR="008E23C6" w:rsidRDefault="00EC5F11" w:rsidP="00B74F8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Geographic Distribution of Wayne</w:t>
      </w:r>
      <w:r w:rsidR="00D345BD">
        <w:rPr>
          <w:b/>
          <w:sz w:val="24"/>
          <w:szCs w:val="24"/>
          <w:u w:val="single"/>
        </w:rPr>
        <w:t xml:space="preserve"> County </w:t>
      </w:r>
      <w:r w:rsidR="008E23C6">
        <w:rPr>
          <w:b/>
          <w:sz w:val="24"/>
          <w:szCs w:val="24"/>
          <w:u w:val="single"/>
        </w:rPr>
        <w:t>ILI ED Visits:</w:t>
      </w:r>
    </w:p>
    <w:p w14:paraId="6EEC2B5C" w14:textId="7B1C85ED" w:rsidR="008E23C6" w:rsidRDefault="00654272" w:rsidP="00B74F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04AC0D9" wp14:editId="785D9D3E">
            <wp:extent cx="5943600" cy="3206750"/>
            <wp:effectExtent l="0" t="0" r="0" b="1270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6B6AFE9E-E7F6-434A-AC21-C03416A024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48548A" w14:textId="77777777" w:rsidR="00CF70A5" w:rsidRDefault="00CF70A5" w:rsidP="00F5404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F36EE32" w14:textId="49D4C92C" w:rsidR="00C6505C" w:rsidRDefault="00C6505C" w:rsidP="00C6505C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Percentage of Influenza Associated Hospitalizations by Week:</w:t>
      </w:r>
    </w:p>
    <w:p w14:paraId="72E03687" w14:textId="1AB12592" w:rsidR="00CF70A5" w:rsidRDefault="00146CDE" w:rsidP="00F54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18FB06CB" wp14:editId="515F352B">
            <wp:extent cx="5943600" cy="3569335"/>
            <wp:effectExtent l="0" t="0" r="0" b="1206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D3558002-3A1A-4F2A-AB5C-21B1D089DE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E98D7C0" w14:textId="77777777" w:rsidR="00CF70A5" w:rsidRDefault="00CF70A5" w:rsidP="00F540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37A4215" w14:textId="77777777" w:rsidR="00C6505C" w:rsidRDefault="00C6505C" w:rsidP="00C6505C">
      <w:pPr>
        <w:rPr>
          <w:b/>
          <w:sz w:val="28"/>
          <w:szCs w:val="28"/>
        </w:rPr>
      </w:pPr>
      <w:r w:rsidRPr="003B754A">
        <w:rPr>
          <w:b/>
          <w:sz w:val="28"/>
          <w:szCs w:val="28"/>
        </w:rPr>
        <w:t xml:space="preserve">State, Regional, and National Data: </w:t>
      </w:r>
    </w:p>
    <w:p w14:paraId="2F9B89E2" w14:textId="77777777" w:rsidR="001817CD" w:rsidRPr="00F854E7" w:rsidRDefault="001817CD" w:rsidP="00181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Ohio Surveillance Data: </w:t>
      </w:r>
    </w:p>
    <w:p w14:paraId="7D057FA2" w14:textId="77777777" w:rsidR="001817CD" w:rsidRDefault="001817CD" w:rsidP="001817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29" w:line="240" w:lineRule="auto"/>
        <w:rPr>
          <w:rFonts w:ascii="Calibri" w:hAnsi="Calibri" w:cs="Calibri"/>
          <w:color w:val="000000"/>
          <w:sz w:val="24"/>
          <w:szCs w:val="24"/>
        </w:rPr>
      </w:pP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ODH lab </w:t>
      </w:r>
      <w:r w:rsidRPr="00F854E7">
        <w:rPr>
          <w:rFonts w:ascii="Calibri" w:hAnsi="Calibri" w:cs="Calibri"/>
          <w:color w:val="000000"/>
          <w:sz w:val="24"/>
          <w:szCs w:val="24"/>
        </w:rPr>
        <w:t xml:space="preserve">has reported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11 </w:t>
      </w:r>
      <w:r w:rsidRPr="00F854E7">
        <w:rPr>
          <w:rFonts w:ascii="Calibri" w:hAnsi="Calibri" w:cs="Calibri"/>
          <w:color w:val="000000"/>
          <w:sz w:val="24"/>
          <w:szCs w:val="24"/>
        </w:rPr>
        <w:t xml:space="preserve">influenza tests from specimens sent from various submitters.2019-2020influenza season results: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(0) A/pdmH1N1; (6) A/H3N2; (1) Influenza B; (4) Negative </w:t>
      </w:r>
      <w:r w:rsidRPr="00F854E7">
        <w:rPr>
          <w:rFonts w:ascii="Calibri" w:hAnsi="Calibri" w:cs="Calibri"/>
          <w:color w:val="000000"/>
          <w:sz w:val="24"/>
          <w:szCs w:val="24"/>
        </w:rPr>
        <w:t xml:space="preserve">(through 10/5/2019). </w:t>
      </w:r>
    </w:p>
    <w:p w14:paraId="56FE7691" w14:textId="77777777" w:rsidR="001817CD" w:rsidRDefault="001817CD" w:rsidP="001817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29" w:line="240" w:lineRule="auto"/>
        <w:rPr>
          <w:rFonts w:ascii="Calibri" w:hAnsi="Calibri" w:cs="Calibri"/>
          <w:color w:val="000000"/>
          <w:sz w:val="24"/>
          <w:szCs w:val="24"/>
        </w:rPr>
      </w:pPr>
      <w:r w:rsidRPr="00F854E7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National Respiratory and Enteric Virus Surveillance System (NREVSS) </w:t>
      </w:r>
      <w:r w:rsidRPr="00F854E7">
        <w:rPr>
          <w:rFonts w:ascii="Calibri" w:hAnsi="Calibri" w:cs="Calibri"/>
          <w:color w:val="000000"/>
          <w:sz w:val="24"/>
          <w:szCs w:val="24"/>
        </w:rPr>
        <w:t xml:space="preserve">has reported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1120 </w:t>
      </w:r>
      <w:r w:rsidRPr="00F854E7">
        <w:rPr>
          <w:rFonts w:ascii="Calibri" w:hAnsi="Calibri" w:cs="Calibri"/>
          <w:color w:val="000000"/>
          <w:sz w:val="24"/>
          <w:szCs w:val="24"/>
        </w:rPr>
        <w:t xml:space="preserve">influenza testsperformed at participating facilities. 2019-2020 influenza season positive results: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(1) A/pdmH1N1, (0) A/H3N2,(0) Flu A Not Subtyped, and (0) Flu B </w:t>
      </w:r>
      <w:r w:rsidRPr="00F854E7">
        <w:rPr>
          <w:rFonts w:ascii="Calibri" w:hAnsi="Calibri" w:cs="Calibri"/>
          <w:color w:val="000000"/>
          <w:sz w:val="24"/>
          <w:szCs w:val="24"/>
        </w:rPr>
        <w:t>(through 10/5/2019).</w:t>
      </w:r>
    </w:p>
    <w:p w14:paraId="7B17774F" w14:textId="77777777" w:rsidR="001817CD" w:rsidRDefault="001817CD" w:rsidP="001817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29" w:line="240" w:lineRule="auto"/>
        <w:rPr>
          <w:rFonts w:ascii="Calibri" w:hAnsi="Calibri" w:cs="Calibri"/>
          <w:color w:val="000000"/>
          <w:sz w:val="24"/>
          <w:szCs w:val="24"/>
        </w:rPr>
      </w:pPr>
      <w:r w:rsidRPr="00F854E7">
        <w:rPr>
          <w:rFonts w:ascii="Calibri" w:hAnsi="Calibri" w:cs="Calibri"/>
          <w:color w:val="000000"/>
          <w:sz w:val="24"/>
          <w:szCs w:val="24"/>
        </w:rPr>
        <w:t xml:space="preserve">No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pediatric influenza-associated mortalities </w:t>
      </w:r>
      <w:r w:rsidRPr="00F854E7">
        <w:rPr>
          <w:rFonts w:ascii="Calibri" w:hAnsi="Calibri" w:cs="Calibri"/>
          <w:color w:val="000000"/>
          <w:sz w:val="24"/>
          <w:szCs w:val="24"/>
        </w:rPr>
        <w:t>have been reported during the 2019-2020 season (through10/5/2019).</w:t>
      </w:r>
    </w:p>
    <w:p w14:paraId="4E48FB59" w14:textId="77777777" w:rsidR="001817CD" w:rsidRDefault="001817CD" w:rsidP="001817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29" w:line="240" w:lineRule="auto"/>
        <w:rPr>
          <w:rFonts w:ascii="Calibri" w:hAnsi="Calibri" w:cs="Calibri"/>
          <w:color w:val="000000"/>
          <w:sz w:val="24"/>
          <w:szCs w:val="24"/>
        </w:rPr>
      </w:pPr>
      <w:r w:rsidRPr="00F854E7">
        <w:rPr>
          <w:rFonts w:ascii="Calibri" w:hAnsi="Calibri" w:cs="Calibri"/>
          <w:color w:val="000000"/>
          <w:sz w:val="24"/>
          <w:szCs w:val="24"/>
        </w:rPr>
        <w:t xml:space="preserve">No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novel influenza A virus infections </w:t>
      </w:r>
      <w:r w:rsidRPr="00F854E7">
        <w:rPr>
          <w:rFonts w:ascii="Calibri" w:hAnsi="Calibri" w:cs="Calibri"/>
          <w:color w:val="000000"/>
          <w:sz w:val="24"/>
          <w:szCs w:val="24"/>
        </w:rPr>
        <w:t>have been reported during the 2019-2020 season (through 10/5/2019).</w:t>
      </w:r>
    </w:p>
    <w:p w14:paraId="60DF63AA" w14:textId="77777777" w:rsidR="001817CD" w:rsidRPr="00F854E7" w:rsidRDefault="001817CD" w:rsidP="001817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29" w:line="240" w:lineRule="auto"/>
        <w:rPr>
          <w:rFonts w:ascii="Calibri" w:hAnsi="Calibri" w:cs="Calibri"/>
          <w:color w:val="000000"/>
          <w:sz w:val="24"/>
          <w:szCs w:val="24"/>
        </w:rPr>
      </w:pPr>
      <w:r w:rsidRPr="00F854E7">
        <w:rPr>
          <w:rFonts w:ascii="Calibri" w:hAnsi="Calibri" w:cs="Calibri"/>
          <w:color w:val="000000"/>
          <w:sz w:val="24"/>
          <w:szCs w:val="24"/>
        </w:rPr>
        <w:t xml:space="preserve">Incidence of confirmed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influenza-associated hospitalizations </w:t>
      </w:r>
      <w:r w:rsidRPr="00F854E7">
        <w:rPr>
          <w:rFonts w:ascii="Calibri" w:hAnsi="Calibri" w:cs="Calibri"/>
          <w:color w:val="000000"/>
          <w:sz w:val="24"/>
          <w:szCs w:val="24"/>
        </w:rPr>
        <w:t xml:space="preserve">in 2019-2020 season = </w:t>
      </w: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8 </w:t>
      </w:r>
      <w:r w:rsidRPr="00F854E7">
        <w:rPr>
          <w:rFonts w:ascii="Calibri" w:hAnsi="Calibri" w:cs="Calibri"/>
          <w:color w:val="000000"/>
          <w:sz w:val="24"/>
          <w:szCs w:val="24"/>
        </w:rPr>
        <w:t>(through 10/5/2019).</w:t>
      </w:r>
    </w:p>
    <w:p w14:paraId="74FF64E5" w14:textId="77777777" w:rsidR="001817CD" w:rsidRPr="00F854E7" w:rsidRDefault="001817CD" w:rsidP="001817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04CE93DD" w14:textId="77777777" w:rsidR="001817CD" w:rsidRPr="00F854E7" w:rsidRDefault="001817CD" w:rsidP="001817CD">
      <w:pPr>
        <w:rPr>
          <w:sz w:val="24"/>
          <w:szCs w:val="24"/>
        </w:rPr>
      </w:pPr>
      <w:r w:rsidRPr="00F854E7">
        <w:rPr>
          <w:rFonts w:ascii="Calibri" w:hAnsi="Calibri" w:cs="Calibri"/>
          <w:b/>
          <w:bCs/>
          <w:color w:val="000000"/>
          <w:sz w:val="24"/>
          <w:szCs w:val="24"/>
        </w:rPr>
        <w:t xml:space="preserve">HHS Regional National Surveillance Data: </w:t>
      </w:r>
      <w:r w:rsidRPr="00F854E7">
        <w:rPr>
          <w:rFonts w:ascii="Calibri" w:hAnsi="Calibri" w:cs="Calibri"/>
          <w:color w:val="000000"/>
          <w:sz w:val="24"/>
          <w:szCs w:val="24"/>
        </w:rPr>
        <w:t>National and regional-level influenza surveillance data from CDC are reported one week later than Ohio state-level data. National MMWR week 40 data will be available in the MMWR week 41 Ohio Seasonal Influenza Activity Summary.</w:t>
      </w:r>
    </w:p>
    <w:p w14:paraId="6CCA7FF3" w14:textId="77777777" w:rsidR="001817CD" w:rsidRDefault="001817CD" w:rsidP="00794BB3">
      <w:pPr>
        <w:rPr>
          <w:b/>
          <w:sz w:val="24"/>
          <w:szCs w:val="24"/>
          <w:u w:val="single"/>
        </w:rPr>
      </w:pPr>
    </w:p>
    <w:p w14:paraId="504378CA" w14:textId="740E89D4" w:rsidR="00B706A8" w:rsidRPr="00B706A8" w:rsidRDefault="00B706A8" w:rsidP="00794BB3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Data Sources:</w:t>
      </w:r>
    </w:p>
    <w:p w14:paraId="477DC409" w14:textId="77777777" w:rsidR="00B706A8" w:rsidRPr="00D345BD" w:rsidRDefault="00B706A8" w:rsidP="00D345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45BD">
        <w:rPr>
          <w:rFonts w:ascii="Calibri" w:hAnsi="Calibri" w:cs="Calibri"/>
          <w:b/>
          <w:bCs/>
          <w:color w:val="000000"/>
        </w:rPr>
        <w:t xml:space="preserve">Emergency Department Visits (EpiCenter): </w:t>
      </w:r>
      <w:r w:rsidRPr="00D345BD">
        <w:rPr>
          <w:rFonts w:ascii="Calibri" w:hAnsi="Calibri" w:cs="Calibri"/>
          <w:color w:val="000000"/>
        </w:rPr>
        <w:t>EpiCenter collects emergency department chief complaint data from hospitals and urgent care facilities across Medina County and classifies them into symptom and syndrome categories. Rates for chief complaints regarding fever + ILI and other symptoms commonly detected during the flu season are analyzed.</w:t>
      </w:r>
    </w:p>
    <w:p w14:paraId="3ED66144" w14:textId="77777777" w:rsidR="00B706A8" w:rsidRPr="00D345BD" w:rsidRDefault="00B706A8" w:rsidP="00B706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45BD">
        <w:rPr>
          <w:rFonts w:ascii="Calibri" w:hAnsi="Calibri" w:cs="Calibri"/>
          <w:b/>
          <w:bCs/>
          <w:color w:val="000000"/>
        </w:rPr>
        <w:t xml:space="preserve">Influenza-Associated Hospitalizations (ODRS): </w:t>
      </w:r>
      <w:r w:rsidRPr="00D345BD">
        <w:rPr>
          <w:rFonts w:ascii="Calibri" w:hAnsi="Calibri" w:cs="Calibri"/>
          <w:color w:val="000000"/>
        </w:rPr>
        <w:t>Influenza-associated hospitalizations</w:t>
      </w:r>
      <w:r w:rsidR="00794BB3" w:rsidRPr="00D345BD">
        <w:rPr>
          <w:rFonts w:ascii="Calibri" w:hAnsi="Calibri" w:cs="Calibri"/>
          <w:color w:val="000000"/>
        </w:rPr>
        <w:t xml:space="preserve"> and novel influenza infections</w:t>
      </w:r>
      <w:r w:rsidRPr="00D345BD">
        <w:rPr>
          <w:rFonts w:ascii="Calibri" w:hAnsi="Calibri" w:cs="Calibri"/>
          <w:color w:val="000000"/>
        </w:rPr>
        <w:t xml:space="preserve"> are reported by the </w:t>
      </w:r>
      <w:r w:rsidR="00CF70A5">
        <w:rPr>
          <w:rFonts w:ascii="Calibri" w:hAnsi="Calibri" w:cs="Calibri"/>
          <w:color w:val="000000"/>
        </w:rPr>
        <w:t>Wayne</w:t>
      </w:r>
      <w:r w:rsidR="00794BB3" w:rsidRPr="00D345BD">
        <w:rPr>
          <w:rFonts w:ascii="Calibri" w:hAnsi="Calibri" w:cs="Calibri"/>
          <w:color w:val="000000"/>
        </w:rPr>
        <w:t xml:space="preserve"> County Health Department </w:t>
      </w:r>
      <w:r w:rsidRPr="00D345BD">
        <w:rPr>
          <w:rFonts w:ascii="Calibri" w:hAnsi="Calibri" w:cs="Calibri"/>
          <w:color w:val="000000"/>
        </w:rPr>
        <w:t>and hospitals using the Ohio Disease Reporting System (ODRS). Hospitalizations can be used as an indicator of the severity of illness during a particular influenza season. This condition became reportable in January 2009</w:t>
      </w:r>
      <w:r w:rsidR="00794BB3" w:rsidRPr="00D345BD">
        <w:rPr>
          <w:rFonts w:ascii="Calibri" w:hAnsi="Calibri" w:cs="Calibri"/>
          <w:color w:val="000000"/>
        </w:rPr>
        <w:t>.</w:t>
      </w:r>
    </w:p>
    <w:p w14:paraId="415E38EE" w14:textId="77777777" w:rsidR="00794BB3" w:rsidRPr="00D345BD" w:rsidRDefault="00794BB3" w:rsidP="00794B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345BD">
        <w:rPr>
          <w:rFonts w:ascii="Calibri" w:hAnsi="Calibri" w:cs="Calibri"/>
          <w:b/>
          <w:bCs/>
          <w:color w:val="000000"/>
        </w:rPr>
        <w:t xml:space="preserve">Office of Vital Statistics: </w:t>
      </w:r>
      <w:r w:rsidR="00CF70A5">
        <w:rPr>
          <w:rFonts w:ascii="Calibri" w:hAnsi="Calibri" w:cs="Calibri"/>
          <w:bCs/>
          <w:color w:val="000000"/>
        </w:rPr>
        <w:t>The Wayne</w:t>
      </w:r>
      <w:r w:rsidRPr="00D345BD">
        <w:rPr>
          <w:rFonts w:ascii="Calibri" w:hAnsi="Calibri" w:cs="Calibri"/>
          <w:bCs/>
          <w:color w:val="000000"/>
        </w:rPr>
        <w:t xml:space="preserve"> County Health Department </w:t>
      </w:r>
      <w:r w:rsidRPr="00D345BD">
        <w:rPr>
          <w:rFonts w:ascii="Calibri" w:hAnsi="Calibri" w:cs="Calibri"/>
          <w:color w:val="000000"/>
        </w:rPr>
        <w:t xml:space="preserve">Office of Vital Statistics receives reports on the causes of death that occur within the county. </w:t>
      </w:r>
    </w:p>
    <w:sectPr w:rsidR="00794BB3" w:rsidRPr="00D345B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AD89B" w14:textId="77777777" w:rsidR="00307F18" w:rsidRDefault="00307F18" w:rsidP="00B706A8">
      <w:pPr>
        <w:spacing w:after="0" w:line="240" w:lineRule="auto"/>
      </w:pPr>
      <w:r>
        <w:separator/>
      </w:r>
    </w:p>
  </w:endnote>
  <w:endnote w:type="continuationSeparator" w:id="0">
    <w:p w14:paraId="38C0E940" w14:textId="77777777" w:rsidR="00307F18" w:rsidRDefault="00307F18" w:rsidP="00B7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2866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9E6B4" w14:textId="0FB9E1F0" w:rsidR="00B706A8" w:rsidRDefault="00B706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293">
          <w:rPr>
            <w:noProof/>
          </w:rPr>
          <w:t>1</w:t>
        </w:r>
        <w:r>
          <w:rPr>
            <w:noProof/>
          </w:rPr>
          <w:fldChar w:fldCharType="end"/>
        </w:r>
        <w:r w:rsidR="00DD1DC9">
          <w:rPr>
            <w:noProof/>
          </w:rPr>
          <w:tab/>
        </w:r>
        <w:r w:rsidR="00DD1DC9">
          <w:rPr>
            <w:noProof/>
          </w:rPr>
          <w:tab/>
          <w:t>Updated: 10/</w:t>
        </w:r>
        <w:r w:rsidR="00146CDE">
          <w:rPr>
            <w:noProof/>
          </w:rPr>
          <w:t>13</w:t>
        </w:r>
        <w:r w:rsidR="00DD1DC9">
          <w:rPr>
            <w:noProof/>
          </w:rPr>
          <w:t>/201</w:t>
        </w:r>
        <w:r w:rsidR="00146CDE">
          <w:rPr>
            <w:noProof/>
          </w:rPr>
          <w:t>9</w:t>
        </w:r>
      </w:p>
    </w:sdtContent>
  </w:sdt>
  <w:p w14:paraId="66F4857E" w14:textId="77777777" w:rsidR="00B706A8" w:rsidRDefault="00B70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6C7A4" w14:textId="77777777" w:rsidR="00307F18" w:rsidRDefault="00307F18" w:rsidP="00B706A8">
      <w:pPr>
        <w:spacing w:after="0" w:line="240" w:lineRule="auto"/>
      </w:pPr>
      <w:r>
        <w:separator/>
      </w:r>
    </w:p>
  </w:footnote>
  <w:footnote w:type="continuationSeparator" w:id="0">
    <w:p w14:paraId="6F3968DB" w14:textId="77777777" w:rsidR="00307F18" w:rsidRDefault="00307F18" w:rsidP="00B70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91B42C3"/>
    <w:multiLevelType w:val="hybridMultilevel"/>
    <w:tmpl w:val="C8F23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F7078"/>
    <w:multiLevelType w:val="hybridMultilevel"/>
    <w:tmpl w:val="E62CE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A6D91"/>
    <w:multiLevelType w:val="hybridMultilevel"/>
    <w:tmpl w:val="386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50F3"/>
    <w:multiLevelType w:val="hybridMultilevel"/>
    <w:tmpl w:val="CFEA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A7D35"/>
    <w:multiLevelType w:val="hybridMultilevel"/>
    <w:tmpl w:val="7E8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C1101"/>
    <w:multiLevelType w:val="hybridMultilevel"/>
    <w:tmpl w:val="5892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06DAA"/>
    <w:multiLevelType w:val="hybridMultilevel"/>
    <w:tmpl w:val="CFEAC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92556"/>
    <w:multiLevelType w:val="hybridMultilevel"/>
    <w:tmpl w:val="05388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C0"/>
    <w:rsid w:val="000252CE"/>
    <w:rsid w:val="00146CDE"/>
    <w:rsid w:val="001817CD"/>
    <w:rsid w:val="001F6D02"/>
    <w:rsid w:val="00291617"/>
    <w:rsid w:val="00307F18"/>
    <w:rsid w:val="003E20E5"/>
    <w:rsid w:val="004751A8"/>
    <w:rsid w:val="0052754C"/>
    <w:rsid w:val="00577C0F"/>
    <w:rsid w:val="005A6766"/>
    <w:rsid w:val="005B25C0"/>
    <w:rsid w:val="00600D3B"/>
    <w:rsid w:val="00615870"/>
    <w:rsid w:val="00633826"/>
    <w:rsid w:val="00637836"/>
    <w:rsid w:val="00640DB4"/>
    <w:rsid w:val="00654272"/>
    <w:rsid w:val="00676D81"/>
    <w:rsid w:val="006F1A45"/>
    <w:rsid w:val="00794BB3"/>
    <w:rsid w:val="007B78D3"/>
    <w:rsid w:val="008E23C6"/>
    <w:rsid w:val="00B706A8"/>
    <w:rsid w:val="00B74F86"/>
    <w:rsid w:val="00BC579C"/>
    <w:rsid w:val="00C6505C"/>
    <w:rsid w:val="00CA4C65"/>
    <w:rsid w:val="00CF70A5"/>
    <w:rsid w:val="00D345BD"/>
    <w:rsid w:val="00D439C1"/>
    <w:rsid w:val="00DD1DC9"/>
    <w:rsid w:val="00EA78C8"/>
    <w:rsid w:val="00EC5F11"/>
    <w:rsid w:val="00F51293"/>
    <w:rsid w:val="00F5404F"/>
    <w:rsid w:val="00F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A801"/>
  <w15:chartTrackingRefBased/>
  <w15:docId w15:val="{E89A2B51-0ED1-4F96-9996-3BA008F1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5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6A8"/>
  </w:style>
  <w:style w:type="paragraph" w:styleId="Footer">
    <w:name w:val="footer"/>
    <w:basedOn w:val="Normal"/>
    <w:link w:val="FooterChar"/>
    <w:uiPriority w:val="99"/>
    <w:unhideWhenUsed/>
    <w:rsid w:val="00B70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6A8"/>
  </w:style>
  <w:style w:type="paragraph" w:styleId="ListParagraph">
    <w:name w:val="List Paragraph"/>
    <w:basedOn w:val="Normal"/>
    <w:uiPriority w:val="34"/>
    <w:qFormat/>
    <w:rsid w:val="00B7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Beth\Documents\Public%20Health\Tri%20County%20Flu%20Surveillance\2019_2020%20Season\Wayne%20Flu%20dat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Beth\Documents\Public%20Health\Tri%20County%20Flu%20Surveillance\2019_2020%20Season\Wayne%20Flu%20dat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Beth\Documents\Public%20Health\Tri%20County%20Flu%20Surveillance\2019_2020%20Season\Wayne%20Flu%20data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ttBeth\Documents\Public%20Health\Tri%20County%20Flu%20Surveillance\2019_2020%20Season\Wayne%20Flu%20data.xlsx" TargetMode="Externa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Figure</a:t>
            </a:r>
            <a:r>
              <a:rPr lang="en-US" sz="1200" baseline="0"/>
              <a:t> 1. Percentage of Influenza related Outpatient Visits among Wayne County Residents by Week, 2019-2020 Flu Season</a:t>
            </a:r>
            <a:endParaRPr lang="en-US" sz="120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24820600281811"/>
          <c:y val="0.16245370370370371"/>
          <c:w val="0.85519621438165039"/>
          <c:h val="0.61818746108305733"/>
        </c:manualLayout>
      </c:layout>
      <c:lineChart>
        <c:grouping val="standard"/>
        <c:varyColors val="0"/>
        <c:ser>
          <c:idx val="0"/>
          <c:order val="0"/>
          <c:tx>
            <c:strRef>
              <c:f>'Outpatient data'!$J$1</c:f>
              <c:strCache>
                <c:ptCount val="1"/>
                <c:pt idx="0">
                  <c:v>Wayne County, 2019-2020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'Outpatient data'!$F$2:$F$27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'Outpatient data'!$J$2:$J$27</c:f>
              <c:numCache>
                <c:formatCode>General</c:formatCode>
                <c:ptCount val="26"/>
                <c:pt idx="0" formatCode="0.0%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B1-4236-8D76-96AC90DC4217}"/>
            </c:ext>
          </c:extLst>
        </c:ser>
        <c:ser>
          <c:idx val="1"/>
          <c:order val="1"/>
          <c:tx>
            <c:strRef>
              <c:f>'Outpatient data'!$K$1</c:f>
              <c:strCache>
                <c:ptCount val="1"/>
                <c:pt idx="0">
                  <c:v>Ohio, 2019-2020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'Outpatient data'!$F$2:$F$27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'Outpatient data'!$K$2:$K$27</c:f>
              <c:numCache>
                <c:formatCode>General</c:formatCode>
                <c:ptCount val="26"/>
                <c:pt idx="0" formatCode="0.0%">
                  <c:v>6.6E-3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B1-4236-8D76-96AC90DC4217}"/>
            </c:ext>
          </c:extLst>
        </c:ser>
        <c:ser>
          <c:idx val="2"/>
          <c:order val="2"/>
          <c:tx>
            <c:v>Wayne County, Historical Average</c:v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'Outpatient data'!$F$2:$F$27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'Outpatient data'!$G$2:$G$27</c:f>
              <c:numCache>
                <c:formatCode>0%</c:formatCode>
                <c:ptCount val="26"/>
                <c:pt idx="0">
                  <c:v>5.9288537549407111E-3</c:v>
                </c:pt>
                <c:pt idx="1">
                  <c:v>3.306088815642956E-2</c:v>
                </c:pt>
                <c:pt idx="2">
                  <c:v>2.3215434083601286E-2</c:v>
                </c:pt>
                <c:pt idx="3">
                  <c:v>2.4822695035460994E-2</c:v>
                </c:pt>
                <c:pt idx="4">
                  <c:v>2.5595238095238095E-2</c:v>
                </c:pt>
                <c:pt idx="5">
                  <c:v>2.1855590062111803E-2</c:v>
                </c:pt>
                <c:pt idx="6">
                  <c:v>9.9617363768307165E-3</c:v>
                </c:pt>
                <c:pt idx="7">
                  <c:v>1.1666666666666667E-2</c:v>
                </c:pt>
                <c:pt idx="8">
                  <c:v>6.4418859649122808E-3</c:v>
                </c:pt>
                <c:pt idx="9">
                  <c:v>1.6464447723670547E-2</c:v>
                </c:pt>
                <c:pt idx="10">
                  <c:v>1.7207092476489029E-2</c:v>
                </c:pt>
                <c:pt idx="11">
                  <c:v>3.3130514146638271E-2</c:v>
                </c:pt>
                <c:pt idx="12">
                  <c:v>4.8503842120913347E-2</c:v>
                </c:pt>
                <c:pt idx="13">
                  <c:v>4.8015289620699793E-2</c:v>
                </c:pt>
                <c:pt idx="14">
                  <c:v>4.9948182693019469E-2</c:v>
                </c:pt>
                <c:pt idx="15">
                  <c:v>6.068251905089584E-2</c:v>
                </c:pt>
                <c:pt idx="16">
                  <c:v>7.2879223580158164E-2</c:v>
                </c:pt>
                <c:pt idx="17">
                  <c:v>8.3497375328083989E-2</c:v>
                </c:pt>
                <c:pt idx="18">
                  <c:v>7.8687426753725101E-2</c:v>
                </c:pt>
                <c:pt idx="19">
                  <c:v>6.8577075098814222E-2</c:v>
                </c:pt>
                <c:pt idx="20">
                  <c:v>5.3868626062322948E-2</c:v>
                </c:pt>
                <c:pt idx="21">
                  <c:v>5.9871031746031741E-2</c:v>
                </c:pt>
                <c:pt idx="22">
                  <c:v>3.1029783273500866E-2</c:v>
                </c:pt>
                <c:pt idx="23">
                  <c:v>2.1833895766185024E-2</c:v>
                </c:pt>
                <c:pt idx="24">
                  <c:v>4.130239992250502E-2</c:v>
                </c:pt>
                <c:pt idx="25">
                  <c:v>3.1518043166505826E-2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EB1-4236-8D76-96AC90DC4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00410152"/>
        <c:axId val="300409168"/>
      </c:lineChart>
      <c:catAx>
        <c:axId val="3004101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MMWR</a:t>
                </a:r>
                <a:r>
                  <a:rPr lang="en-US" baseline="0"/>
                  <a:t> Week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409168"/>
        <c:crosses val="autoZero"/>
        <c:auto val="1"/>
        <c:lblAlgn val="ctr"/>
        <c:lblOffset val="100"/>
        <c:noMultiLvlLbl val="0"/>
      </c:catAx>
      <c:valAx>
        <c:axId val="300409168"/>
        <c:scaling>
          <c:orientation val="minMax"/>
          <c:max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of Outpatient Visits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2.9778551049882664E-2"/>
              <c:y val="0.287501153740083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41015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2264957264957264"/>
          <c:y val="0.1889528684154404"/>
          <c:w val="0.8273504273504273"/>
          <c:h val="7.1977471146241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Figure</a:t>
            </a:r>
            <a:r>
              <a:rPr lang="en-US" sz="1200" baseline="0"/>
              <a:t> 2. Percentage of Influenza related ED Visits among Wayne County residents by Week, 2019-2020 Flu Season</a:t>
            </a:r>
            <a:endParaRPr lang="en-US" sz="1200"/>
          </a:p>
        </c:rich>
      </c:tx>
      <c:layout>
        <c:manualLayout>
          <c:xMode val="edge"/>
          <c:yMode val="edge"/>
          <c:x val="0.10318180279441021"/>
          <c:y val="2.20082499166748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9.3622141000640494E-2"/>
          <c:y val="0.19873449674757346"/>
          <c:w val="0.88642321332358975"/>
          <c:h val="0.56869953193477929"/>
        </c:manualLayout>
      </c:layout>
      <c:lineChart>
        <c:grouping val="standard"/>
        <c:varyColors val="0"/>
        <c:ser>
          <c:idx val="0"/>
          <c:order val="0"/>
          <c:tx>
            <c:strRef>
              <c:f>'ER Summary'!$I$1</c:f>
              <c:strCache>
                <c:ptCount val="1"/>
                <c:pt idx="0">
                  <c:v>Wayne County, 2019-2020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'ER Summary'!$F$2:$F$27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'ER Summary'!$I$2:$I$27</c:f>
              <c:numCache>
                <c:formatCode>General</c:formatCode>
                <c:ptCount val="26"/>
                <c:pt idx="0" formatCode="0.0%">
                  <c:v>5.0000000000000001E-3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C05-42A9-A22B-874762EF24D0}"/>
            </c:ext>
          </c:extLst>
        </c:ser>
        <c:ser>
          <c:idx val="1"/>
          <c:order val="1"/>
          <c:tx>
            <c:strRef>
              <c:f>'ER Summary'!$H$1</c:f>
              <c:strCache>
                <c:ptCount val="1"/>
                <c:pt idx="0">
                  <c:v>Ohio</c:v>
                </c:pt>
              </c:strCache>
            </c:strRef>
          </c:tx>
          <c:spPr>
            <a:ln w="285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'ER Summary'!$F$2:$F$27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'ER Summary'!$H$2:$H$27</c:f>
              <c:numCache>
                <c:formatCode>General</c:formatCode>
                <c:ptCount val="26"/>
                <c:pt idx="0" formatCode="0.0%">
                  <c:v>1.4999999999999999E-2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C05-42A9-A22B-874762EF24D0}"/>
            </c:ext>
          </c:extLst>
        </c:ser>
        <c:ser>
          <c:idx val="2"/>
          <c:order val="2"/>
          <c:tx>
            <c:strRef>
              <c:f>'Historical ED'!$G$1</c:f>
              <c:strCache>
                <c:ptCount val="1"/>
                <c:pt idx="0">
                  <c:v>Wayne County, 5 yr Average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'ER Summary'!$F$2:$F$27</c:f>
              <c:numCache>
                <c:formatCode>General</c:formatCode>
                <c:ptCount val="26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</c:numCache>
            </c:numRef>
          </c:cat>
          <c:val>
            <c:numRef>
              <c:f>'Historical ED'!$G$2:$G$27</c:f>
              <c:numCache>
                <c:formatCode>0.00%</c:formatCode>
                <c:ptCount val="26"/>
                <c:pt idx="0">
                  <c:v>1.381342105071515E-2</c:v>
                </c:pt>
                <c:pt idx="1">
                  <c:v>1.2345878318355905E-2</c:v>
                </c:pt>
                <c:pt idx="2">
                  <c:v>1.4686689850871359E-2</c:v>
                </c:pt>
                <c:pt idx="3">
                  <c:v>1.4790628434136954E-2</c:v>
                </c:pt>
                <c:pt idx="4">
                  <c:v>1.9736066775703571E-2</c:v>
                </c:pt>
                <c:pt idx="5">
                  <c:v>1.5323271327874633E-2</c:v>
                </c:pt>
                <c:pt idx="6">
                  <c:v>1.4817039200632223E-2</c:v>
                </c:pt>
                <c:pt idx="7">
                  <c:v>1.0360025538045563E-2</c:v>
                </c:pt>
                <c:pt idx="8">
                  <c:v>1.3679452208819057E-2</c:v>
                </c:pt>
                <c:pt idx="9">
                  <c:v>1.8066527950670742E-2</c:v>
                </c:pt>
                <c:pt idx="10">
                  <c:v>2.8077104976636569E-2</c:v>
                </c:pt>
                <c:pt idx="11">
                  <c:v>2.4556398537822689E-2</c:v>
                </c:pt>
                <c:pt idx="12">
                  <c:v>2.9735359330189594E-2</c:v>
                </c:pt>
                <c:pt idx="13">
                  <c:v>2.1177209627785826E-2</c:v>
                </c:pt>
                <c:pt idx="14">
                  <c:v>1.7536109969470554E-2</c:v>
                </c:pt>
                <c:pt idx="15">
                  <c:v>2.4362973918338922E-2</c:v>
                </c:pt>
                <c:pt idx="16">
                  <c:v>3.0044179195659458E-2</c:v>
                </c:pt>
                <c:pt idx="17">
                  <c:v>2.8513424464686032E-2</c:v>
                </c:pt>
                <c:pt idx="18">
                  <c:v>2.6910125434717123E-2</c:v>
                </c:pt>
                <c:pt idx="19">
                  <c:v>3.162098733333675E-2</c:v>
                </c:pt>
                <c:pt idx="20">
                  <c:v>2.7388934892152678E-2</c:v>
                </c:pt>
                <c:pt idx="21">
                  <c:v>2.7046430710699211E-2</c:v>
                </c:pt>
                <c:pt idx="22">
                  <c:v>3.1036920734261515E-2</c:v>
                </c:pt>
                <c:pt idx="23">
                  <c:v>1.9544945164858697E-2</c:v>
                </c:pt>
                <c:pt idx="24">
                  <c:v>2.8975744189218704E-2</c:v>
                </c:pt>
                <c:pt idx="25">
                  <c:v>2.1215048543550379E-2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05-42A9-A22B-874762EF24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481792"/>
        <c:axId val="300402280"/>
      </c:lineChart>
      <c:catAx>
        <c:axId val="453481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MMWR</a:t>
                </a:r>
                <a:r>
                  <a:rPr lang="en-US" baseline="0"/>
                  <a:t> Week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0402280"/>
        <c:crosses val="autoZero"/>
        <c:auto val="1"/>
        <c:lblAlgn val="ctr"/>
        <c:lblOffset val="100"/>
        <c:noMultiLvlLbl val="0"/>
      </c:catAx>
      <c:valAx>
        <c:axId val="300402280"/>
        <c:scaling>
          <c:orientation val="minMax"/>
          <c:max val="5.000000000000001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of ED Visits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1.6326528280175223E-2"/>
              <c:y val="0.3301818020077762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48179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17443701168620082"/>
          <c:y val="0.21340666335868999"/>
          <c:w val="0.68919937228594419"/>
          <c:h val="6.189863612391396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</a:t>
            </a:r>
            <a:r>
              <a:rPr lang="en-US" baseline="0"/>
              <a:t> 3. Percentage of Influenza Like ED Visits among Wayne County Residents by Zip Code, 2019-2020 Flu Season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407775869376101"/>
          <c:y val="0.17386279391899917"/>
          <c:w val="0.86514792591435985"/>
          <c:h val="0.63937985232605909"/>
        </c:manualLayout>
      </c:layout>
      <c:barChart>
        <c:barDir val="col"/>
        <c:grouping val="clustered"/>
        <c:varyColors val="0"/>
        <c:ser>
          <c:idx val="0"/>
          <c:order val="0"/>
          <c:tx>
            <c:v>Current week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'ER Summary'!$J$1:$V$1</c:f>
              <c:numCache>
                <c:formatCode>General</c:formatCode>
                <c:ptCount val="13"/>
                <c:pt idx="0">
                  <c:v>44214</c:v>
                </c:pt>
                <c:pt idx="1">
                  <c:v>44217</c:v>
                </c:pt>
                <c:pt idx="2">
                  <c:v>44230</c:v>
                </c:pt>
                <c:pt idx="3">
                  <c:v>44270</c:v>
                </c:pt>
                <c:pt idx="4">
                  <c:v>44276</c:v>
                </c:pt>
                <c:pt idx="5">
                  <c:v>44287</c:v>
                </c:pt>
                <c:pt idx="6">
                  <c:v>44606</c:v>
                </c:pt>
                <c:pt idx="7">
                  <c:v>44618</c:v>
                </c:pt>
                <c:pt idx="8">
                  <c:v>44645</c:v>
                </c:pt>
                <c:pt idx="9">
                  <c:v>44667</c:v>
                </c:pt>
                <c:pt idx="10">
                  <c:v>44676</c:v>
                </c:pt>
                <c:pt idx="11">
                  <c:v>44677</c:v>
                </c:pt>
                <c:pt idx="12">
                  <c:v>44691</c:v>
                </c:pt>
              </c:numCache>
            </c:numRef>
          </c:cat>
          <c:val>
            <c:numRef>
              <c:f>'ER Summary'!$J$2:$V$2</c:f>
              <c:numCache>
                <c:formatCode>0%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0.02</c:v>
                </c:pt>
                <c:pt idx="3">
                  <c:v>0</c:v>
                </c:pt>
                <c:pt idx="4">
                  <c:v>0.05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0.04</c:v>
                </c:pt>
                <c:pt idx="9">
                  <c:v>0</c:v>
                </c:pt>
                <c:pt idx="10">
                  <c:v>0</c:v>
                </c:pt>
                <c:pt idx="11">
                  <c:v>0.04</c:v>
                </c:pt>
                <c:pt idx="12">
                  <c:v>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A-40C1-8822-51AE32363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4876464"/>
        <c:axId val="304876792"/>
      </c:barChart>
      <c:catAx>
        <c:axId val="304876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876792"/>
        <c:crosses val="autoZero"/>
        <c:auto val="1"/>
        <c:lblAlgn val="ctr"/>
        <c:lblOffset val="100"/>
        <c:noMultiLvlLbl val="0"/>
      </c:catAx>
      <c:valAx>
        <c:axId val="304876792"/>
        <c:scaling>
          <c:orientation val="minMax"/>
          <c:max val="0.15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Percentage</a:t>
                </a:r>
                <a:r>
                  <a:rPr lang="en-US" baseline="0"/>
                  <a:t> of ED Visits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4876464"/>
        <c:crosses val="autoZero"/>
        <c:crossBetween val="between"/>
        <c:majorUnit val="3.0000000000000006E-2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43824249241572077"/>
          <c:y val="0.19632568719018767"/>
          <c:w val="0.12351501516855849"/>
          <c:h val="5.41519967212766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Figure 4. Number of Infuenza</a:t>
            </a:r>
            <a:r>
              <a:rPr lang="en-US" baseline="0"/>
              <a:t>-Associated Hospitalizations among Wayne County residents by week, </a:t>
            </a:r>
            <a:r>
              <a:rPr lang="en-US"/>
              <a:t>2019-2020 Flu Season</a:t>
            </a:r>
          </a:p>
        </c:rich>
      </c:tx>
      <c:layout>
        <c:manualLayout>
          <c:xMode val="edge"/>
          <c:yMode val="edge"/>
          <c:x val="9.7692716640085039E-2"/>
          <c:y val="2.06451640870597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1466634852461625E-2"/>
          <c:y val="0.2508138177378807"/>
          <c:w val="0.8858513020800628"/>
          <c:h val="0.51284402849466137"/>
        </c:manualLayout>
      </c:layout>
      <c:lineChart>
        <c:grouping val="standard"/>
        <c:varyColors val="0"/>
        <c:ser>
          <c:idx val="1"/>
          <c:order val="0"/>
          <c:tx>
            <c:strRef>
              <c:f>'Hosp Summary'!$G$1</c:f>
              <c:strCache>
                <c:ptCount val="1"/>
                <c:pt idx="0">
                  <c:v>Wayne County, 2019-2020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'Hosp Summary'!$F$2:$F$34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'Hosp Summary'!$G$2:$G$27</c:f>
              <c:numCache>
                <c:formatCode>General</c:formatCode>
                <c:ptCount val="26"/>
                <c:pt idx="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65-4AB2-8C76-ED8A07E66CF6}"/>
            </c:ext>
          </c:extLst>
        </c:ser>
        <c:ser>
          <c:idx val="0"/>
          <c:order val="1"/>
          <c:tx>
            <c:strRef>
              <c:f>'Historical Hosp'!$G$1</c:f>
              <c:strCache>
                <c:ptCount val="1"/>
                <c:pt idx="0">
                  <c:v>Wayne County, 5 yr Average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cat>
            <c:numRef>
              <c:f>'Hosp Summary'!$F$2:$F$34</c:f>
              <c:numCache>
                <c:formatCode>General</c:formatCode>
                <c:ptCount val="33"/>
                <c:pt idx="0">
                  <c:v>40</c:v>
                </c:pt>
                <c:pt idx="1">
                  <c:v>41</c:v>
                </c:pt>
                <c:pt idx="2">
                  <c:v>42</c:v>
                </c:pt>
                <c:pt idx="3">
                  <c:v>43</c:v>
                </c:pt>
                <c:pt idx="4">
                  <c:v>44</c:v>
                </c:pt>
                <c:pt idx="5">
                  <c:v>45</c:v>
                </c:pt>
                <c:pt idx="6">
                  <c:v>46</c:v>
                </c:pt>
                <c:pt idx="7">
                  <c:v>47</c:v>
                </c:pt>
                <c:pt idx="8">
                  <c:v>48</c:v>
                </c:pt>
                <c:pt idx="9">
                  <c:v>49</c:v>
                </c:pt>
                <c:pt idx="10">
                  <c:v>50</c:v>
                </c:pt>
                <c:pt idx="11">
                  <c:v>51</c:v>
                </c:pt>
                <c:pt idx="12">
                  <c:v>52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7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11</c:v>
                </c:pt>
                <c:pt idx="24">
                  <c:v>12</c:v>
                </c:pt>
                <c:pt idx="25">
                  <c:v>13</c:v>
                </c:pt>
                <c:pt idx="26">
                  <c:v>14</c:v>
                </c:pt>
                <c:pt idx="27">
                  <c:v>15</c:v>
                </c:pt>
                <c:pt idx="28">
                  <c:v>16</c:v>
                </c:pt>
                <c:pt idx="29">
                  <c:v>17</c:v>
                </c:pt>
                <c:pt idx="30">
                  <c:v>18</c:v>
                </c:pt>
                <c:pt idx="31">
                  <c:v>19</c:v>
                </c:pt>
                <c:pt idx="32">
                  <c:v>20</c:v>
                </c:pt>
              </c:numCache>
            </c:numRef>
          </c:cat>
          <c:val>
            <c:numRef>
              <c:f>'Historical Hosp'!$G$2:$G$27</c:f>
              <c:numCache>
                <c:formatCode>General</c:formatCode>
                <c:ptCount val="26"/>
                <c:pt idx="0">
                  <c:v>0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0.4</c:v>
                </c:pt>
                <c:pt idx="6">
                  <c:v>0.2</c:v>
                </c:pt>
                <c:pt idx="7">
                  <c:v>0.6</c:v>
                </c:pt>
                <c:pt idx="8">
                  <c:v>0.8</c:v>
                </c:pt>
                <c:pt idx="9">
                  <c:v>1.2</c:v>
                </c:pt>
                <c:pt idx="10">
                  <c:v>2.6</c:v>
                </c:pt>
                <c:pt idx="11">
                  <c:v>6.8</c:v>
                </c:pt>
                <c:pt idx="12">
                  <c:v>11.4</c:v>
                </c:pt>
                <c:pt idx="13">
                  <c:v>13.4</c:v>
                </c:pt>
                <c:pt idx="14">
                  <c:v>6.2</c:v>
                </c:pt>
                <c:pt idx="15">
                  <c:v>5</c:v>
                </c:pt>
                <c:pt idx="16">
                  <c:v>4.5999999999999996</c:v>
                </c:pt>
                <c:pt idx="17">
                  <c:v>4.2</c:v>
                </c:pt>
                <c:pt idx="18">
                  <c:v>5</c:v>
                </c:pt>
                <c:pt idx="19">
                  <c:v>5.6</c:v>
                </c:pt>
                <c:pt idx="20">
                  <c:v>4.5999999999999996</c:v>
                </c:pt>
                <c:pt idx="21">
                  <c:v>4</c:v>
                </c:pt>
                <c:pt idx="22">
                  <c:v>5.2</c:v>
                </c:pt>
                <c:pt idx="23">
                  <c:v>4.8</c:v>
                </c:pt>
                <c:pt idx="24">
                  <c:v>4</c:v>
                </c:pt>
                <c:pt idx="25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365-4AB2-8C76-ED8A07E66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3470640"/>
        <c:axId val="453475560"/>
      </c:lineChart>
      <c:catAx>
        <c:axId val="45347064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MMWR</a:t>
                </a:r>
                <a:r>
                  <a:rPr lang="en-US" baseline="0"/>
                  <a:t> Week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5307379639745987"/>
              <c:y val="0.8262755500838946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475560"/>
        <c:crosses val="autoZero"/>
        <c:auto val="1"/>
        <c:lblAlgn val="ctr"/>
        <c:lblOffset val="100"/>
        <c:noMultiLvlLbl val="0"/>
      </c:catAx>
      <c:valAx>
        <c:axId val="453475560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Hospitalizations</a:t>
                </a:r>
                <a:endParaRPr lang="en-US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3470640"/>
        <c:crosses val="autoZero"/>
        <c:crossBetween val="between"/>
        <c:majorUnit val="3"/>
      </c:valAx>
      <c:spPr>
        <a:noFill/>
        <a:ln>
          <a:solidFill>
            <a:schemeClr val="tx1"/>
          </a:solidFill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0.10024</cdr:x>
      <cdr:y>0.89332</cdr:y>
    </cdr:from>
    <cdr:to>
      <cdr:x>0.65295</cdr:x>
      <cdr:y>0.9963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7028EBFE-9ED8-4B67-9762-5DAF05325607}"/>
            </a:ext>
          </a:extLst>
        </cdr:cNvPr>
        <cdr:cNvSpPr txBox="1"/>
      </cdr:nvSpPr>
      <cdr:spPr>
        <a:xfrm xmlns:a="http://schemas.openxmlformats.org/drawingml/2006/main">
          <a:off x="595786" y="2659874"/>
          <a:ext cx="3285098" cy="3066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Source:</a:t>
          </a:r>
          <a:r>
            <a:rPr lang="en-US" sz="1100" baseline="0"/>
            <a:t> Wayne County Influenza Surveillance System</a:t>
          </a:r>
          <a:endParaRPr lang="en-US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0.10476</cdr:x>
      <cdr:y>0.88446</cdr:y>
    </cdr:from>
    <cdr:to>
      <cdr:x>0.61361</cdr:x>
      <cdr:y>0.95873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BE2EB44F-804E-49C6-9399-C96E93D00B83}"/>
            </a:ext>
          </a:extLst>
        </cdr:cNvPr>
        <cdr:cNvSpPr txBox="1"/>
      </cdr:nvSpPr>
      <cdr:spPr>
        <a:xfrm xmlns:a="http://schemas.openxmlformats.org/drawingml/2006/main">
          <a:off x="733426" y="3062288"/>
          <a:ext cx="3562350" cy="257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Source:</a:t>
          </a:r>
          <a:r>
            <a:rPr lang="en-US" sz="1100" baseline="0"/>
            <a:t> Epi Center Syndromic Surveillance System</a:t>
          </a:r>
          <a:endParaRPr lang="en-US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0.10812</cdr:x>
      <cdr:y>0.88889</cdr:y>
    </cdr:from>
    <cdr:to>
      <cdr:x>0.72093</cdr:x>
      <cdr:y>0.98476</cdr:y>
    </cdr:to>
    <cdr:sp macro="" textlink="">
      <cdr:nvSpPr>
        <cdr:cNvPr id="3" name="TextBox 1">
          <a:extLst xmlns:a="http://schemas.openxmlformats.org/drawingml/2006/main">
            <a:ext uri="{FF2B5EF4-FFF2-40B4-BE49-F238E27FC236}">
              <a16:creationId xmlns:a16="http://schemas.microsoft.com/office/drawing/2014/main" id="{110ECBD1-8BBC-480D-B327-DA25D8B28A89}"/>
            </a:ext>
          </a:extLst>
        </cdr:cNvPr>
        <cdr:cNvSpPr txBox="1"/>
      </cdr:nvSpPr>
      <cdr:spPr>
        <a:xfrm xmlns:a="http://schemas.openxmlformats.org/drawingml/2006/main">
          <a:off x="642621" y="2850448"/>
          <a:ext cx="3642299" cy="3074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Source:</a:t>
          </a:r>
          <a:r>
            <a:rPr lang="en-US" sz="1100" baseline="0"/>
            <a:t> Epi Center Syndromic Surveillance System</a:t>
          </a:r>
          <a:endParaRPr lang="en-US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0.13716</cdr:x>
      <cdr:y>0.83355</cdr:y>
    </cdr:from>
    <cdr:to>
      <cdr:x>0.6571</cdr:x>
      <cdr:y>0.92129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05D5BC7C-8CF6-4F8F-8B9F-076DEEED040E}"/>
            </a:ext>
          </a:extLst>
        </cdr:cNvPr>
        <cdr:cNvSpPr txBox="1"/>
      </cdr:nvSpPr>
      <cdr:spPr>
        <a:xfrm xmlns:a="http://schemas.openxmlformats.org/drawingml/2006/main" flipH="1">
          <a:off x="819151" y="3076575"/>
          <a:ext cx="3105150" cy="323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0.09569</cdr:x>
      <cdr:y>0.88258</cdr:y>
    </cdr:from>
    <cdr:to>
      <cdr:x>0.64115</cdr:x>
      <cdr:y>0.95484</cdr:y>
    </cdr:to>
    <cdr:sp macro="" textlink="">
      <cdr:nvSpPr>
        <cdr:cNvPr id="3" name="TextBox 2">
          <a:extLst xmlns:a="http://schemas.openxmlformats.org/drawingml/2006/main">
            <a:ext uri="{FF2B5EF4-FFF2-40B4-BE49-F238E27FC236}">
              <a16:creationId xmlns:a16="http://schemas.microsoft.com/office/drawing/2014/main" id="{A411B728-2BCE-47D1-86BC-8FAC381832EF}"/>
            </a:ext>
          </a:extLst>
        </cdr:cNvPr>
        <cdr:cNvSpPr txBox="1"/>
      </cdr:nvSpPr>
      <cdr:spPr>
        <a:xfrm xmlns:a="http://schemas.openxmlformats.org/drawingml/2006/main">
          <a:off x="571501" y="3257550"/>
          <a:ext cx="3257550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Source: Ohio DIsease Reporting System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Falb</dc:creator>
  <cp:keywords/>
  <dc:description/>
  <cp:lastModifiedBy>Beth Westfall</cp:lastModifiedBy>
  <cp:revision>2</cp:revision>
  <dcterms:created xsi:type="dcterms:W3CDTF">2019-10-15T20:11:00Z</dcterms:created>
  <dcterms:modified xsi:type="dcterms:W3CDTF">2019-10-15T20:11:00Z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